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Tytuł: Kształtowanie przyszłości finansów: wnioski z 14.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&amp; 13.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Digital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Congress</w:t>
      </w:r>
      <w:proofErr w:type="spellEnd"/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4 grudnia 2023 r. w The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Westin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Warsaw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Hotel odbył się </w:t>
      </w:r>
      <w:hyperlink r:id="rId5" w:history="1">
        <w:r w:rsidRPr="007026C4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 xml:space="preserve">14. </w:t>
        </w:r>
        <w:proofErr w:type="spellStart"/>
        <w:r w:rsidRPr="007026C4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FinTech</w:t>
        </w:r>
        <w:proofErr w:type="spellEnd"/>
        <w:r w:rsidRPr="007026C4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 xml:space="preserve"> &amp; 13. </w:t>
        </w:r>
        <w:proofErr w:type="spellStart"/>
        <w:r w:rsidRPr="007026C4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InsurTech</w:t>
        </w:r>
        <w:proofErr w:type="spellEnd"/>
        <w:r w:rsidRPr="007026C4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 xml:space="preserve"> Digital </w:t>
        </w:r>
        <w:proofErr w:type="spellStart"/>
        <w:r w:rsidRPr="007026C4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Congress</w:t>
        </w:r>
        <w:proofErr w:type="spellEnd"/>
      </w:hyperlink>
      <w:r w:rsidRPr="007026C4">
        <w:rPr>
          <w:rFonts w:ascii="Arial" w:eastAsia="Times New Roman" w:hAnsi="Arial" w:cs="Arial"/>
          <w:color w:val="000000"/>
          <w:lang w:eastAsia="pl-PL"/>
        </w:rPr>
        <w:t xml:space="preserve"> – wydarzenie gromadzące czołowych ekspertów branż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Uroczystego otwarcia kongresu dokonali Marcin Petrykowski, Przewodniczący Rady Programowej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&amp;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Digital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Congress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oraz Jan Kastory, Wiceprzewodniczący Rady Programowej. Następnie uczestnicy wysłuchali wystąpienia Agnieszki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Jadczyszyn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Dyrektorki Zarządzającej ds. Operacji mBank.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Debata inauguracyjna odbyła się pod hasłem </w:t>
      </w:r>
      <w:r w:rsidRPr="007026C4">
        <w:rPr>
          <w:rFonts w:ascii="Arial" w:eastAsia="Times New Roman" w:hAnsi="Arial" w:cs="Arial"/>
          <w:i/>
          <w:iCs/>
          <w:color w:val="000000"/>
          <w:lang w:eastAsia="pl-PL"/>
        </w:rPr>
        <w:t>"Adaptacja i elastyczność na nowe wyzwania w biznesie</w:t>
      </w:r>
      <w:r w:rsidRPr="007026C4">
        <w:rPr>
          <w:rFonts w:ascii="Arial" w:eastAsia="Times New Roman" w:hAnsi="Arial" w:cs="Arial"/>
          <w:color w:val="000000"/>
          <w:lang w:eastAsia="pl-PL"/>
        </w:rPr>
        <w:t>". Prelegenci omówili gotowość na ryzyko i zarządzanie nim w warunkach niepewności, a także kulturę innowacyjności w kontekście ryzyka. Dyskutowano o wpływie zmian technologicznych i prawnych na rozwój rynku, adaptacji do potrzeb zmieniającego się klienta oraz o efektywnych modelach biznesowych dla równowagi i wzrostu na wymagającym rynku. 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>“</w:t>
      </w:r>
      <w:r w:rsidRPr="007026C4">
        <w:rPr>
          <w:rFonts w:ascii="Arial" w:eastAsia="Times New Roman" w:hAnsi="Arial" w:cs="Arial"/>
          <w:i/>
          <w:iCs/>
          <w:color w:val="000000"/>
          <w:lang w:eastAsia="pl-PL"/>
        </w:rPr>
        <w:t>Jeśli chodzi o ryzyko makroekonomiczne, które ostatnio jest dość turbulentne (...) to finanse są na to przygotowane. Długoterminowe ryzyka związane z klientem, ze zmianami behawioralnymi – tutaj jeszcze troszkę potrzebujemy tego, żeby długoterminowo umieć korzystać z danych, które gromadzimy i  w tym kontekście tym ryzykiem lepiej zarządzać.</w:t>
      </w:r>
      <w:r w:rsidRPr="007026C4">
        <w:rPr>
          <w:rFonts w:ascii="Arial" w:eastAsia="Times New Roman" w:hAnsi="Arial" w:cs="Arial"/>
          <w:color w:val="000000"/>
          <w:lang w:eastAsia="pl-PL"/>
        </w:rPr>
        <w:t xml:space="preserve">” – podsumowała rozmowę Weronika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Dejneka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Prezes PZU Cash &amp; Wiceprezes PZU Zdrowie.</w:t>
      </w:r>
    </w:p>
    <w:p w:rsidR="007026C4" w:rsidRPr="007026C4" w:rsidRDefault="007026C4" w:rsidP="007026C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Kolejny blok tematyczny poświęcony został nowym horyzontom biznesu. Przeanalizowane zostały najnowsze trendy kształtujące przyszłość branży. Eksperci pochylili się nad zagadnieniami związanymi z nowoczesnym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Customer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Experience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: ewolucją klienta na rynku, ‚humanizacji’ bankowości </w:t>
      </w:r>
      <w:r w:rsidRPr="007026C4">
        <w:rPr>
          <w:rFonts w:ascii="Arial" w:eastAsia="Times New Roman" w:hAnsi="Arial" w:cs="Arial"/>
          <w:color w:val="010101"/>
          <w:sz w:val="23"/>
          <w:szCs w:val="23"/>
          <w:shd w:val="clear" w:color="auto" w:fill="FFFFFF"/>
          <w:lang w:eastAsia="pl-PL"/>
        </w:rPr>
        <w:t xml:space="preserve">jako priorytet dla rozwijających się banków i </w:t>
      </w:r>
      <w:proofErr w:type="spellStart"/>
      <w:r w:rsidRPr="007026C4">
        <w:rPr>
          <w:rFonts w:ascii="Arial" w:eastAsia="Times New Roman" w:hAnsi="Arial" w:cs="Arial"/>
          <w:color w:val="010101"/>
          <w:sz w:val="23"/>
          <w:szCs w:val="23"/>
          <w:shd w:val="clear" w:color="auto" w:fill="FFFFFF"/>
          <w:lang w:eastAsia="pl-PL"/>
        </w:rPr>
        <w:t>fintechów</w:t>
      </w:r>
      <w:proofErr w:type="spellEnd"/>
      <w:r w:rsidRPr="007026C4">
        <w:rPr>
          <w:rFonts w:ascii="Arial" w:eastAsia="Times New Roman" w:hAnsi="Arial" w:cs="Arial"/>
          <w:color w:val="010101"/>
          <w:sz w:val="23"/>
          <w:szCs w:val="23"/>
          <w:shd w:val="clear" w:color="auto" w:fill="FFFFFF"/>
          <w:lang w:eastAsia="pl-PL"/>
        </w:rPr>
        <w:t xml:space="preserve">, potencjał wykorzystania open data, korzyści, które można uzyskać z wdrażania zasad ESG w sektorze biznesowym. </w:t>
      </w:r>
      <w:r w:rsidRPr="007026C4">
        <w:rPr>
          <w:rFonts w:ascii="Arial" w:eastAsia="Times New Roman" w:hAnsi="Arial" w:cs="Arial"/>
          <w:color w:val="000000"/>
          <w:lang w:eastAsia="pl-PL"/>
        </w:rPr>
        <w:t>Skomentowano także perspektywy zrewolucjonizowania branży finansowej przez sztuczną inteligencję. Prelegenci zwrócili uwagę na wyzwania związane z wykorzystaniem AI, nowe modele analizy finansowej i doradztwa oraz potencjalne zagrożenia dla stabilności finansowej. Zaprezentowane zostały także przykłady zastosowania AI w biznesie.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i/>
          <w:iCs/>
          <w:color w:val="000000"/>
          <w:lang w:eastAsia="pl-PL"/>
        </w:rPr>
        <w:t>“Uważam, że następne lata to będzie praca nad przygotowaniem infrastruktury instytucji finansowych do wprowadzenia narzędzi AI. Modele będą się rozwijały, będą nowe i do tego trzeba być gotowym. One na pewno pozwolą na zwiększenie efektywności działania każdego podmiotu.</w:t>
      </w:r>
      <w:r w:rsidRPr="007026C4">
        <w:rPr>
          <w:rFonts w:ascii="Arial" w:eastAsia="Times New Roman" w:hAnsi="Arial" w:cs="Arial"/>
          <w:color w:val="000000"/>
          <w:lang w:eastAsia="pl-PL"/>
        </w:rPr>
        <w:t xml:space="preserve">” - mówił Janusz Mieloszyk, Pierwszy Wiceprezes Zarządu, Pion Dystrybucji i Rozwoju Biznesu (CCO),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Nest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Bank.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Debata </w:t>
      </w:r>
      <w:r w:rsidRPr="007026C4">
        <w:rPr>
          <w:rFonts w:ascii="Arial" w:eastAsia="Times New Roman" w:hAnsi="Arial" w:cs="Arial"/>
          <w:i/>
          <w:iCs/>
          <w:color w:val="000000"/>
          <w:lang w:eastAsia="pl-PL"/>
        </w:rPr>
        <w:t xml:space="preserve">Data &amp; </w:t>
      </w:r>
      <w:proofErr w:type="spellStart"/>
      <w:r w:rsidRPr="007026C4">
        <w:rPr>
          <w:rFonts w:ascii="Arial" w:eastAsia="Times New Roman" w:hAnsi="Arial" w:cs="Arial"/>
          <w:i/>
          <w:iCs/>
          <w:color w:val="000000"/>
          <w:lang w:eastAsia="pl-PL"/>
        </w:rPr>
        <w:t>RegTech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koncentrowała się na praktycznym wykorzystaniu technologii, regulacji danych i konkurencyjnych przewag w sektorach finansowym i ubezpieczeniowym. Eksperci przeanalizowali wykorzystanie zaawansowanych technologii i analizy dużych zbiorów danych w sektorze ubezpieczeń i bankowości, zwracając uwagę na potencjał tych narzędzi w tworzeniu przewag konkurencyjnych oraz zapewnieniu bezpieczeństwa i transparentności w zarządzaniu danymi klientów. Dodatkowo, poruszono kwestie regulacji prawnych, w tym wpływ rozporządzenia o otwartych finansach (FIDA) i regulacji ESG, na sektor finansowy i ubezpieczeniowy, podkreślając znaczenie technologii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RegTech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oraz szanse i wyzwania związane z wykorzystaniem sztucznej inteligencji.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>Następnie akcent przeniesiony został na kwestię budowania zaufania klientów do dostawców usług w zakresie przekazywania danych. Prelegenci odnieśli się do zagadnień takich jak przetwarzanie i ochrona wrażliwych danych w systemach biznesowych oraz szanse i zagrożenia związane z łączeniem danych finansowych i ubezpieczeniowych z danymi medycznymi. 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Podczas bloku poświęconego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embedded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finance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eksperci skoncentrowali się na przyszłości bankowości, rozważając, czy banki będą ewoluować w kierunku e-commerce czy pozostaną przy modelu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embedded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finance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oraz na wpływie cyfryzacji na branże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. Poruszono tematykę cyfrowej transformacji w bankach i ubezpieczalniach, dojrzałości cyfrowej tych instytucji, korzyści wynikających ze współpracy z firmami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oraz rewolucji w płatnościach cyfrowych i rozwoju technologii płatniczych, takich jak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softposy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Zakończenie kongresu stanowiła dyskusja na temat ewolucji rynku. Omówiono aktualne trendy w finansowaniu startupów technologicznych, ze szczególnym uwzględnieniem rynków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oraz strategie współpracy banków i ubezpieczycieli ze spółkami technologicznymi. Omówiono sytuację rynkową w zakresie finansowania spółek technologicznych w różnych regionach (m.in. Europa, USA), a także główne segmenty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przyciągające inwestycje venture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capital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. Dodatkowo, poruszono kwestię współpracy banków i </w:t>
      </w:r>
      <w:r w:rsidRPr="007026C4">
        <w:rPr>
          <w:rFonts w:ascii="Arial" w:eastAsia="Times New Roman" w:hAnsi="Arial" w:cs="Arial"/>
          <w:color w:val="000000"/>
          <w:lang w:eastAsia="pl-PL"/>
        </w:rPr>
        <w:lastRenderedPageBreak/>
        <w:t xml:space="preserve">ubezpieczycieli ze spółkami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fintech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insurtech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analizując główne modele tej współpracy oraz sposób, w jaki mogą one przyczyniać się do rozwoju nowych rozwiązań.</w:t>
      </w:r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W gronie </w:t>
      </w:r>
      <w:hyperlink r:id="rId6" w:history="1">
        <w:r w:rsidRPr="007026C4">
          <w:rPr>
            <w:rStyle w:val="Hipercze"/>
            <w:rFonts w:ascii="Arial" w:eastAsia="Times New Roman" w:hAnsi="Arial" w:cs="Arial"/>
            <w:lang w:eastAsia="pl-PL"/>
          </w:rPr>
          <w:t xml:space="preserve">prelegentów 14. </w:t>
        </w:r>
        <w:proofErr w:type="spellStart"/>
        <w:r w:rsidRPr="007026C4">
          <w:rPr>
            <w:rStyle w:val="Hipercze"/>
            <w:rFonts w:ascii="Arial" w:eastAsia="Times New Roman" w:hAnsi="Arial" w:cs="Arial"/>
            <w:lang w:eastAsia="pl-PL"/>
          </w:rPr>
          <w:t>FinTech</w:t>
        </w:r>
        <w:proofErr w:type="spellEnd"/>
        <w:r w:rsidRPr="007026C4">
          <w:rPr>
            <w:rStyle w:val="Hipercze"/>
            <w:rFonts w:ascii="Arial" w:eastAsia="Times New Roman" w:hAnsi="Arial" w:cs="Arial"/>
            <w:lang w:eastAsia="pl-PL"/>
          </w:rPr>
          <w:t xml:space="preserve"> &amp; 13. </w:t>
        </w:r>
        <w:proofErr w:type="spellStart"/>
        <w:r w:rsidRPr="007026C4">
          <w:rPr>
            <w:rStyle w:val="Hipercze"/>
            <w:rFonts w:ascii="Arial" w:eastAsia="Times New Roman" w:hAnsi="Arial" w:cs="Arial"/>
            <w:lang w:eastAsia="pl-PL"/>
          </w:rPr>
          <w:t>InsurTech</w:t>
        </w:r>
        <w:proofErr w:type="spellEnd"/>
        <w:r w:rsidRPr="007026C4">
          <w:rPr>
            <w:rStyle w:val="Hipercze"/>
            <w:rFonts w:ascii="Arial" w:eastAsia="Times New Roman" w:hAnsi="Arial" w:cs="Arial"/>
            <w:lang w:eastAsia="pl-PL"/>
          </w:rPr>
          <w:t xml:space="preserve"> Digital </w:t>
        </w:r>
        <w:proofErr w:type="spellStart"/>
        <w:r w:rsidRPr="007026C4">
          <w:rPr>
            <w:rStyle w:val="Hipercze"/>
            <w:rFonts w:ascii="Arial" w:eastAsia="Times New Roman" w:hAnsi="Arial" w:cs="Arial"/>
            <w:lang w:eastAsia="pl-PL"/>
          </w:rPr>
          <w:t>Congress</w:t>
        </w:r>
        <w:proofErr w:type="spellEnd"/>
      </w:hyperlink>
      <w:r w:rsidRPr="007026C4">
        <w:rPr>
          <w:rFonts w:ascii="Arial" w:eastAsia="Times New Roman" w:hAnsi="Arial" w:cs="Arial"/>
          <w:color w:val="000000"/>
          <w:lang w:eastAsia="pl-PL"/>
        </w:rPr>
        <w:t xml:space="preserve"> znaleźli się  m.in.: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Weronika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Dejneka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Prezes PZU Cash &amp; Wiceprezes PZU Zdrowie</w:t>
      </w:r>
      <w:bookmarkStart w:id="0" w:name="_GoBack"/>
      <w:bookmarkEnd w:id="0"/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Agnieszka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Jadczyszyn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Dyrektorka Zarządzająca ds. Operacji, mBank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Marek Myszka,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of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Innovation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PKO Bank Polski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Paulina Skrzypińska, Chief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Innovation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Officer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BNP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Paribas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Bank Polska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Krzysztof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Sobiesiński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Lead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Solutions Consultant,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OpenText</w:t>
      </w:r>
      <w:proofErr w:type="spellEnd"/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Monika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Leżyńska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Członek Zarządu,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TUiR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Allianz Polska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Janusz Mieloszyk, Pierwszy Wiceprezes Zarządu, Pion Dystrybucji i Rozwoju Biznesu (CCO),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Nest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Bank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Janusz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Naklicki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Chief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Strategy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Officer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Synerise</w:t>
      </w:r>
      <w:proofErr w:type="spellEnd"/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Łukasz Michalczyk, Chief Data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Officer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Director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of Data &amp; Advanced Analytics Center, Link4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Magdalena Piech,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Group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Regulatory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Affairs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Director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Allegro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Michał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Hackiewicz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of Sales and Business Development,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Billon</w:t>
      </w:r>
      <w:proofErr w:type="spellEnd"/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>Mariusz Kłys, Dyrektor Departamentu Danych, Alior Bank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Andrzej Pyka, Chief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Transformation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Officer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, Santander Bank Polska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Magdalena Szczepańska,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Head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of Operations &amp;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Customer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Service, Wiener, Compensa,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InterRisk</w:t>
      </w:r>
      <w:proofErr w:type="spellEnd"/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>Wiktor Namysł, General Partner, Orbit Capital</w:t>
      </w:r>
    </w:p>
    <w:p w:rsidR="007026C4" w:rsidRPr="007026C4" w:rsidRDefault="007026C4" w:rsidP="007026C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Aleksandra Friedel, Prezeska,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Unilink</w:t>
      </w:r>
      <w:proofErr w:type="spellEnd"/>
    </w:p>
    <w:p w:rsidR="007026C4" w:rsidRPr="007026C4" w:rsidRDefault="007026C4" w:rsidP="007026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6C4" w:rsidRPr="007026C4" w:rsidRDefault="007026C4" w:rsidP="00702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Partner Strategiczny: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Limitless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Technologies</w:t>
      </w:r>
      <w:r w:rsidRPr="007026C4">
        <w:rPr>
          <w:rFonts w:ascii="Arial" w:eastAsia="Times New Roman" w:hAnsi="Arial" w:cs="Arial"/>
          <w:color w:val="000000"/>
          <w:lang w:eastAsia="pl-PL"/>
        </w:rPr>
        <w:br/>
        <w:t xml:space="preserve">Partnerzy: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Billon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Capco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Comadso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DLK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Legal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Korus,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Dollaroo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e-point,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incat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LUX MED,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Nest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Bank,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Opentext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Polisa Online,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Secfense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Takes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Care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 xml:space="preserve">, Abak,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Profescapital</w:t>
      </w:r>
      <w:proofErr w:type="spellEnd"/>
    </w:p>
    <w:p w:rsidR="007026C4" w:rsidRPr="007026C4" w:rsidRDefault="007026C4" w:rsidP="00702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Sponsor: 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Creatio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br/>
        <w:t>Partner Multimediów: M-</w:t>
      </w:r>
      <w:proofErr w:type="spellStart"/>
      <w:r w:rsidRPr="007026C4">
        <w:rPr>
          <w:rFonts w:ascii="Arial" w:eastAsia="Times New Roman" w:hAnsi="Arial" w:cs="Arial"/>
          <w:color w:val="000000"/>
          <w:lang w:eastAsia="pl-PL"/>
        </w:rPr>
        <w:t>sound</w:t>
      </w:r>
      <w:proofErr w:type="spellEnd"/>
      <w:r w:rsidRPr="007026C4">
        <w:rPr>
          <w:rFonts w:ascii="Arial" w:eastAsia="Times New Roman" w:hAnsi="Arial" w:cs="Arial"/>
          <w:color w:val="000000"/>
          <w:lang w:eastAsia="pl-PL"/>
        </w:rPr>
        <w:t> </w:t>
      </w:r>
    </w:p>
    <w:p w:rsidR="007026C4" w:rsidRDefault="007026C4" w:rsidP="007026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26C4" w:rsidRDefault="007026C4" w:rsidP="007026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Kongres jest realizowany w ramach działalności MMC Polska organizującej prestiżowe kongresy, konferencje, warsztaty i szkolenia biznesowe dedykowane kadrze menadżerskiej oraz zarządom firm. Więcej na </w:t>
      </w:r>
      <w:hyperlink r:id="rId7" w:history="1"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>www.mmcpolska.pl</w:t>
        </w:r>
      </w:hyperlink>
      <w:r w:rsidRPr="007026C4">
        <w:rPr>
          <w:rFonts w:ascii="Arial" w:eastAsia="Times New Roman" w:hAnsi="Arial" w:cs="Arial"/>
          <w:color w:val="000000"/>
          <w:lang w:eastAsia="pl-PL"/>
        </w:rPr>
        <w:t>.</w:t>
      </w:r>
    </w:p>
    <w:p w:rsidR="007026C4" w:rsidRPr="007026C4" w:rsidRDefault="007026C4" w:rsidP="00702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CA" w:rsidRDefault="007026C4" w:rsidP="007026C4">
      <w:pPr>
        <w:spacing w:line="360" w:lineRule="auto"/>
      </w:pPr>
      <w:r w:rsidRPr="007026C4">
        <w:rPr>
          <w:rFonts w:ascii="Arial" w:eastAsia="Times New Roman" w:hAnsi="Arial" w:cs="Arial"/>
          <w:color w:val="000000"/>
          <w:lang w:eastAsia="pl-PL"/>
        </w:rPr>
        <w:t xml:space="preserve">Zapraszamy do zapoznania się z </w:t>
      </w:r>
      <w:hyperlink r:id="rId8" w:history="1"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fotorelacją 14. </w:t>
        </w:r>
        <w:proofErr w:type="spellStart"/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>FinTech</w:t>
        </w:r>
        <w:proofErr w:type="spellEnd"/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&amp; 13. </w:t>
        </w:r>
        <w:proofErr w:type="spellStart"/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>InsurTech</w:t>
        </w:r>
        <w:proofErr w:type="spellEnd"/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 xml:space="preserve"> Digital </w:t>
        </w:r>
        <w:proofErr w:type="spellStart"/>
        <w:r w:rsidRPr="007026C4">
          <w:rPr>
            <w:rFonts w:ascii="Arial" w:eastAsia="Times New Roman" w:hAnsi="Arial" w:cs="Arial"/>
            <w:color w:val="1155CC"/>
            <w:u w:val="single"/>
            <w:lang w:eastAsia="pl-PL"/>
          </w:rPr>
          <w:t>Congress</w:t>
        </w:r>
        <w:proofErr w:type="spellEnd"/>
      </w:hyperlink>
      <w:r w:rsidRPr="007026C4">
        <w:rPr>
          <w:rFonts w:ascii="Arial" w:eastAsia="Times New Roman" w:hAnsi="Arial" w:cs="Arial"/>
          <w:color w:val="000000"/>
          <w:lang w:eastAsia="pl-PL"/>
        </w:rPr>
        <w:t>.</w:t>
      </w:r>
    </w:p>
    <w:sectPr w:rsidR="0068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F74"/>
    <w:multiLevelType w:val="multilevel"/>
    <w:tmpl w:val="AA4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83"/>
    <w:rsid w:val="00687BCA"/>
    <w:rsid w:val="007026C4"/>
    <w:rsid w:val="00A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1A37"/>
  <w15:chartTrackingRefBased/>
  <w15:docId w15:val="{64A32ACE-992B-423D-B6E5-20758193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echdigitalcongress.pl/14-fintech-13-insurtech-digital-congress-04-12-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c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techdigitalcongress.pl/prelegenci/" TargetMode="External"/><Relationship Id="rId5" Type="http://schemas.openxmlformats.org/officeDocument/2006/relationships/hyperlink" Target="https://fintechdigitalcongress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Zielińska</dc:creator>
  <cp:keywords/>
  <dc:description/>
  <cp:lastModifiedBy>Sylwia Zielińska</cp:lastModifiedBy>
  <cp:revision>2</cp:revision>
  <dcterms:created xsi:type="dcterms:W3CDTF">2023-12-05T14:55:00Z</dcterms:created>
  <dcterms:modified xsi:type="dcterms:W3CDTF">2023-12-05T14:58:00Z</dcterms:modified>
</cp:coreProperties>
</file>