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TYTUŁ: FinTech Digital Congress 2026: jak technologia zmienia finanse i reguły gry na rynku </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bCs w:val="1"/>
          <w:rtl w:val="0"/>
        </w:rPr>
        <w:t xml:space="preserve">14 kwietnia 2026</w:t>
      </w:r>
      <w:r w:rsidDel="00000000" w:rsidR="00000000" w:rsidRPr="00000000">
        <w:rPr>
          <w:rtl w:val="0"/>
        </w:rPr>
        <w:t xml:space="preserve"> roku w hotelu </w:t>
      </w:r>
      <w:r w:rsidDel="00000000" w:rsidR="00000000" w:rsidRPr="00000000">
        <w:rPr>
          <w:b w:val="1"/>
          <w:bCs w:val="1"/>
          <w:rtl w:val="0"/>
        </w:rPr>
        <w:t xml:space="preserve">The Westin Warsaw</w:t>
      </w:r>
      <w:r w:rsidDel="00000000" w:rsidR="00000000" w:rsidRPr="00000000">
        <w:rPr>
          <w:rtl w:val="0"/>
        </w:rPr>
        <w:t xml:space="preserve"> odbył się </w:t>
      </w:r>
      <w:r w:rsidDel="00000000" w:rsidR="00000000" w:rsidRPr="00000000">
        <w:rPr>
          <w:b w:val="1"/>
          <w:bCs w:val="1"/>
          <w:rtl w:val="0"/>
        </w:rPr>
        <w:t xml:space="preserve">19. FinTech Digital Congress</w:t>
      </w:r>
      <w:r w:rsidDel="00000000" w:rsidR="00000000" w:rsidRPr="00000000">
        <w:rPr>
          <w:rtl w:val="0"/>
        </w:rPr>
        <w:t xml:space="preserve"> – wydarzenie poświęcone najważniejszym kierunkom rozwoju sektora finansowego i fintechowego. Wydarzenie było częścią Spotkania Liderów Finansów.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Dyskusje podczas kongresu koncentrowały się wokół roli technologii w finansach – szczególnie sztucznej inteligencji, danych oraz nowych modeli biznesowych. Uczestnicy rozmawiali o tym, jak zmienia się „system operacyjny” finansów, które technologie realnie wpływają dziś na rozwój rynku oraz gdzie instytucje finansowe szukają przewagi konkurencyjnej.</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Wydarzenie otworzył </w:t>
      </w:r>
      <w:r w:rsidDel="00000000" w:rsidR="00000000" w:rsidRPr="00000000">
        <w:rPr>
          <w:b w:val="1"/>
          <w:bCs w:val="1"/>
          <w:rtl w:val="0"/>
        </w:rPr>
        <w:t xml:space="preserve">Jurand Drop, Podsekretarz Stanu w Ministerstwie Finansów,</w:t>
      </w:r>
      <w:r w:rsidDel="00000000" w:rsidR="00000000" w:rsidRPr="00000000">
        <w:rPr>
          <w:rtl w:val="0"/>
        </w:rPr>
        <w:t xml:space="preserve"> który w swoim wystąpieniu zwrócił uwagę na tempo zmian technologicznych oraz rolę regulacji w rozwoju rynku:</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bCs w:val="1"/>
          <w:i w:val="1"/>
          <w:iCs w:val="1"/>
        </w:rPr>
      </w:pPr>
      <w:r w:rsidDel="00000000" w:rsidR="00000000" w:rsidRPr="00000000">
        <w:rPr>
          <w:b w:val="1"/>
          <w:bCs w:val="1"/>
          <w:i w:val="1"/>
          <w:iCs w:val="1"/>
          <w:rtl w:val="0"/>
        </w:rPr>
        <w:t xml:space="preserve">„Zmiany technologiczne, szczególnie te związane ze sztuczną inteligencją, są dziś bardzo szybkie i istotne dla sektora finansowego. Kluczowe jest tworzenie regulacji, które z jednej strony wspierają innowacje, a z drugiej zapewniają bezpieczeństwo i budują zaufanie klientów. Istotny jest także dialog z rynkiem przy ich tworzeniu.”</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Wątki te były kontynuowane w rozmowie otwierającej z udziałem Adama Marciniaka, Prezesa VeloBanku, moderowanej przez Marcina Petrykowskiego, CEO &amp; Senior Advisor Finance and Technology. W kontekście tych zmian dużo miejsca poświęcono współpracy banków z fintechami oraz wdrażaniu nowych rozwiązań technologicznych w dużych organizacjach. Podkreślano znaczenie otwartości na partnerstwa i gotowości do pracy z mniej dojrzałymi, ale innowacyjnymi rozwiązaniami.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i w:val="1"/>
          <w:iCs w:val="1"/>
        </w:rPr>
      </w:pPr>
      <w:r w:rsidDel="00000000" w:rsidR="00000000" w:rsidRPr="00000000">
        <w:rPr>
          <w:b w:val="1"/>
          <w:bCs w:val="1"/>
          <w:i w:val="1"/>
          <w:iCs w:val="1"/>
          <w:rtl w:val="0"/>
        </w:rPr>
        <w:t xml:space="preserve">„Współpraca banków z fintechami wymaga odwagi i otwartości. Musimy być gotowi inwestować w rozwiązania, które nie zawsze są tak dojrzałe jak systemy bankowe, ale mają potencjał realnie zmienić nasze usługi. Kluczowe jest nauczenie się, jak włączać te technologie w architekturę banku i jak zarządzać zmianą w organizacji.”</w:t>
      </w:r>
    </w:p>
    <w:p w:rsidR="00000000" w:rsidDel="00000000" w:rsidP="00000000" w:rsidRDefault="00000000" w:rsidRPr="00000000" w14:paraId="0000000E">
      <w:pPr>
        <w:jc w:val="both"/>
        <w:rPr/>
      </w:pPr>
      <w:r w:rsidDel="00000000" w:rsidR="00000000" w:rsidRPr="00000000">
        <w:rPr>
          <w:rtl w:val="0"/>
        </w:rPr>
        <w:t xml:space="preserve">— Piotr Kostrzewa-Zalewski, Dyrektor Biura Innowacji, PKO Bank Polski</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Istotnym wątkiem była także rola kapitału i finansowania innowacji. Uczestnicy dyskutowali o zmianach na rynku inwestycyjnym, nowych modelach finansowania oraz o tym, które obszary fintechu przyciągają dziś największe zainteresowanie inwestorów.</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Dużo miejsca poświęcono również gospodarce opartej na danych oraz wykorzystaniu sztucznej inteligencji w praktyce. Rozmowy dotyczyły m.in. wdrażania GenAI i agentic AI, budowania wartości biznesowej na podstawie danych oraz wyzwań związanych z ich jakością, integracją i bezpieczeństwem.</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W drugiej części dnia dyskusje skupiły się na praktycznym wykorzystaniu AI w organizacjach, zarówno w kontekście budowania przewagi konkurencyjnej, jak i przygotowania zespołów oraz struktur do pracy w środowisku opartym na nowych technologiach.</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Silnie wybrzmiał również temat płatności cyfrowych oraz ich rosnącej roli na rynku. Prelegenci rozmawiali o stablecoinach, tokenizacji, rozwoju portfeli cyfrowych oraz kierunkach transformacji infrastruktury płatniczej.</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bCs w:val="1"/>
          <w:i w:val="1"/>
          <w:iCs w:val="1"/>
        </w:rPr>
      </w:pPr>
      <w:r w:rsidDel="00000000" w:rsidR="00000000" w:rsidRPr="00000000">
        <w:rPr>
          <w:b w:val="1"/>
          <w:bCs w:val="1"/>
          <w:i w:val="1"/>
          <w:iCs w:val="1"/>
          <w:rtl w:val="0"/>
        </w:rPr>
        <w:t xml:space="preserve">„Regulacje porządkują rynek, wspierają bezpieczeństwo i ochronę konsumentów, więc są bardzo potrzebne. Jednocześnie brak odpowiednich regulacji może spowalniać rozwój i tłumić innowacyjność – szczególnie w obszarze płatności cyfrowych. Dziś są one kluczowe, jeśli chcemy konkurować z innymi rynkami europejskimi.”</w:t>
      </w:r>
    </w:p>
    <w:p w:rsidR="00000000" w:rsidDel="00000000" w:rsidP="00000000" w:rsidRDefault="00000000" w:rsidRPr="00000000" w14:paraId="00000019">
      <w:pPr>
        <w:jc w:val="both"/>
        <w:rPr/>
      </w:pPr>
      <w:r w:rsidDel="00000000" w:rsidR="00000000" w:rsidRPr="00000000">
        <w:rPr>
          <w:rtl w:val="0"/>
        </w:rPr>
        <w:t xml:space="preserve">— Monika Macura, Radca Prawny, Kancelaria Macura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W dalszej części programu pojawiły się także wątki związane z budowaniem lojalności klientów w warunkach rosnącej konkurencji, rozwojem cyfrowego pieniądza oraz regulacją rynku kryptoaktywów.</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Kongres zakończyły rozmowy o cyberbezpieczeństwie i budowaniu odporności organizacji w świecie rosnących zagrożeń. Dyskutowano m.in. o roli regulacji, takich jak DORA, oraz o wykorzystaniu sztucznej inteligencji w ochronie systemów finansowych.</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19. FinTech Digital Congress był przestrzenią rozmów o aktualnych wyzwaniach i konkretnych kierunkach rozwoju rynku z naciskiem na praktyczne zastosowania technologii oraz współpracę pomiędzy jego uczestnikami.</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Podczas wydarzenia </w:t>
      </w:r>
      <w:r w:rsidDel="00000000" w:rsidR="00000000" w:rsidRPr="00000000">
        <w:rPr>
          <w:rtl w:val="0"/>
        </w:rPr>
        <w:t xml:space="preserve">wystąpili</w:t>
      </w:r>
      <w:r w:rsidDel="00000000" w:rsidR="00000000" w:rsidRPr="00000000">
        <w:rPr>
          <w:rtl w:val="0"/>
        </w:rPr>
        <w:t xml:space="preserve"> </w:t>
      </w:r>
      <w:hyperlink r:id="rId6">
        <w:r w:rsidDel="00000000" w:rsidR="00000000" w:rsidRPr="00000000">
          <w:rPr>
            <w:color w:val="1155cc"/>
            <w:u w:val="single"/>
            <w:rtl w:val="0"/>
          </w:rPr>
          <w:t xml:space="preserve">m.in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Jurand Drop</w:t>
      </w:r>
      <w:r w:rsidDel="00000000" w:rsidR="00000000" w:rsidRPr="00000000">
        <w:rPr>
          <w:rFonts w:ascii="Tahoma" w:cs="Tahoma" w:eastAsia="Tahoma" w:hAnsi="Tahoma"/>
          <w:sz w:val="20"/>
          <w:szCs w:val="20"/>
          <w:rtl w:val="0"/>
        </w:rPr>
        <w:t xml:space="preserve">, Podsekretarz Stanu, Ministerstwo Finansów</w:t>
      </w:r>
      <w:r w:rsidDel="00000000" w:rsidR="00000000" w:rsidRPr="00000000">
        <w:rPr>
          <w:rtl w:val="0"/>
        </w:rPr>
      </w:r>
    </w:p>
    <w:p w:rsidR="00000000" w:rsidDel="00000000" w:rsidP="00000000" w:rsidRDefault="00000000" w:rsidRPr="00000000" w14:paraId="00000023">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Katarzyna Sobolewska,</w:t>
      </w:r>
      <w:r w:rsidDel="00000000" w:rsidR="00000000" w:rsidRPr="00000000">
        <w:rPr>
          <w:rFonts w:ascii="Tahoma" w:cs="Tahoma" w:eastAsia="Tahoma" w:hAnsi="Tahoma"/>
          <w:sz w:val="20"/>
          <w:szCs w:val="20"/>
          <w:rtl w:val="0"/>
        </w:rPr>
        <w:t xml:space="preserve"> Dyrektorka Centrum Transformacji Banku, Alior Bank</w:t>
      </w:r>
    </w:p>
    <w:p w:rsidR="00000000" w:rsidDel="00000000" w:rsidP="00000000" w:rsidRDefault="00000000" w:rsidRPr="00000000" w14:paraId="00000024">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Cosmin Cosma</w:t>
      </w:r>
      <w:r w:rsidDel="00000000" w:rsidR="00000000" w:rsidRPr="00000000">
        <w:rPr>
          <w:rFonts w:ascii="Tahoma" w:cs="Tahoma" w:eastAsia="Tahoma" w:hAnsi="Tahoma"/>
          <w:sz w:val="20"/>
          <w:szCs w:val="20"/>
          <w:rtl w:val="0"/>
        </w:rPr>
        <w:t xml:space="preserve">, Co-Founder &amp; CEO, Finqware</w:t>
      </w:r>
    </w:p>
    <w:p w:rsidR="00000000" w:rsidDel="00000000" w:rsidP="00000000" w:rsidRDefault="00000000" w:rsidRPr="00000000" w14:paraId="00000025">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Karolina Mitraszewska, </w:t>
      </w:r>
      <w:r w:rsidDel="00000000" w:rsidR="00000000" w:rsidRPr="00000000">
        <w:rPr>
          <w:rFonts w:ascii="Tahoma" w:cs="Tahoma" w:eastAsia="Tahoma" w:hAnsi="Tahoma"/>
          <w:sz w:val="20"/>
          <w:szCs w:val="20"/>
          <w:rtl w:val="0"/>
        </w:rPr>
        <w:t xml:space="preserve">Ekspert sektora finansowego</w:t>
      </w:r>
    </w:p>
    <w:p w:rsidR="00000000" w:rsidDel="00000000" w:rsidP="00000000" w:rsidRDefault="00000000" w:rsidRPr="00000000" w14:paraId="00000026">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Kamil Pruchnik, </w:t>
      </w:r>
      <w:r w:rsidDel="00000000" w:rsidR="00000000" w:rsidRPr="00000000">
        <w:rPr>
          <w:rFonts w:ascii="Tahoma" w:cs="Tahoma" w:eastAsia="Tahoma" w:hAnsi="Tahoma"/>
          <w:sz w:val="20"/>
          <w:szCs w:val="20"/>
          <w:rtl w:val="0"/>
        </w:rPr>
        <w:t xml:space="preserve">Senior Regional Representative for Poland,</w:t>
      </w:r>
      <w:r w:rsidDel="00000000" w:rsidR="00000000" w:rsidRPr="00000000">
        <w:rPr>
          <w:rFonts w:ascii="Tahoma" w:cs="Tahoma" w:eastAsia="Tahoma" w:hAnsi="Tahoma"/>
          <w:b w:val="1"/>
          <w:bCs w:val="1"/>
          <w:sz w:val="20"/>
          <w:szCs w:val="20"/>
          <w:rtl w:val="0"/>
        </w:rPr>
        <w:t xml:space="preserve"> </w:t>
      </w:r>
      <w:r w:rsidDel="00000000" w:rsidR="00000000" w:rsidRPr="00000000">
        <w:rPr>
          <w:rFonts w:ascii="Tahoma" w:cs="Tahoma" w:eastAsia="Tahoma" w:hAnsi="Tahoma"/>
          <w:sz w:val="20"/>
          <w:szCs w:val="20"/>
          <w:rtl w:val="0"/>
        </w:rPr>
        <w:t xml:space="preserve">European Investment Fund</w:t>
      </w:r>
    </w:p>
    <w:p w:rsidR="00000000" w:rsidDel="00000000" w:rsidP="00000000" w:rsidRDefault="00000000" w:rsidRPr="00000000" w14:paraId="0000002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Martin Markiewicz,</w:t>
      </w:r>
      <w:r w:rsidDel="00000000" w:rsidR="00000000" w:rsidRPr="00000000">
        <w:rPr>
          <w:rFonts w:ascii="Tahoma" w:cs="Tahoma" w:eastAsia="Tahoma" w:hAnsi="Tahoma"/>
          <w:sz w:val="20"/>
          <w:szCs w:val="20"/>
          <w:rtl w:val="0"/>
        </w:rPr>
        <w:t xml:space="preserve"> CEO, Silent Eight</w:t>
      </w:r>
      <w:r w:rsidDel="00000000" w:rsidR="00000000" w:rsidRPr="00000000">
        <w:rPr>
          <w:rtl w:val="0"/>
        </w:rPr>
      </w:r>
    </w:p>
    <w:p w:rsidR="00000000" w:rsidDel="00000000" w:rsidP="00000000" w:rsidRDefault="00000000" w:rsidRPr="00000000" w14:paraId="0000002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Agnieszka Kobylańska</w:t>
      </w:r>
      <w:r w:rsidDel="00000000" w:rsidR="00000000" w:rsidRPr="00000000">
        <w:rPr>
          <w:rFonts w:ascii="Tahoma" w:cs="Tahoma" w:eastAsia="Tahoma" w:hAnsi="Tahoma"/>
          <w:sz w:val="20"/>
          <w:szCs w:val="20"/>
          <w:rtl w:val="0"/>
        </w:rPr>
        <w:t xml:space="preserve">, Dyrektorka Biura Data Governance, BNP Paribas Bank Polska</w:t>
      </w:r>
    </w:p>
    <w:p w:rsidR="00000000" w:rsidDel="00000000" w:rsidP="00000000" w:rsidRDefault="00000000" w:rsidRPr="00000000" w14:paraId="0000002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Adam Niewiński, </w:t>
      </w:r>
      <w:r w:rsidDel="00000000" w:rsidR="00000000" w:rsidRPr="00000000">
        <w:rPr>
          <w:rFonts w:ascii="Tahoma" w:cs="Tahoma" w:eastAsia="Tahoma" w:hAnsi="Tahoma"/>
          <w:sz w:val="20"/>
          <w:szCs w:val="20"/>
          <w:rtl w:val="0"/>
        </w:rPr>
        <w:t xml:space="preserve">Co-Founder &amp; General Partner, OTB Ventures</w:t>
      </w:r>
    </w:p>
    <w:p w:rsidR="00000000" w:rsidDel="00000000" w:rsidP="00000000" w:rsidRDefault="00000000" w:rsidRPr="00000000" w14:paraId="0000002A">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Mariusz Bukowski, </w:t>
      </w:r>
      <w:r w:rsidDel="00000000" w:rsidR="00000000" w:rsidRPr="00000000">
        <w:rPr>
          <w:rFonts w:ascii="Tahoma" w:cs="Tahoma" w:eastAsia="Tahoma" w:hAnsi="Tahoma"/>
          <w:sz w:val="20"/>
          <w:szCs w:val="20"/>
          <w:rtl w:val="0"/>
        </w:rPr>
        <w:t xml:space="preserve">Head of Data &amp; AI, Nest Bank</w:t>
      </w:r>
    </w:p>
    <w:p w:rsidR="00000000" w:rsidDel="00000000" w:rsidP="00000000" w:rsidRDefault="00000000" w:rsidRPr="00000000" w14:paraId="0000002B">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Maja Schaefer</w:t>
        <w:tab/>
        <w:t xml:space="preserve">, </w:t>
      </w:r>
      <w:r w:rsidDel="00000000" w:rsidR="00000000" w:rsidRPr="00000000">
        <w:rPr>
          <w:rFonts w:ascii="Tahoma" w:cs="Tahoma" w:eastAsia="Tahoma" w:hAnsi="Tahoma"/>
          <w:sz w:val="20"/>
          <w:szCs w:val="20"/>
          <w:rtl w:val="0"/>
        </w:rPr>
        <w:t xml:space="preserve">CEO &amp; Co-founder, Zowie</w:t>
      </w:r>
    </w:p>
    <w:p w:rsidR="00000000" w:rsidDel="00000000" w:rsidP="00000000" w:rsidRDefault="00000000" w:rsidRPr="00000000" w14:paraId="0000002C">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Sonia Wędrychowicz, </w:t>
      </w:r>
      <w:r w:rsidDel="00000000" w:rsidR="00000000" w:rsidRPr="00000000">
        <w:rPr>
          <w:rFonts w:ascii="Tahoma" w:cs="Tahoma" w:eastAsia="Tahoma" w:hAnsi="Tahoma"/>
          <w:sz w:val="20"/>
          <w:szCs w:val="20"/>
          <w:rtl w:val="0"/>
        </w:rPr>
        <w:t xml:space="preserve">Partner, McKinsey &amp; Company</w:t>
      </w:r>
    </w:p>
    <w:p w:rsidR="00000000" w:rsidDel="00000000" w:rsidP="00000000" w:rsidRDefault="00000000" w:rsidRPr="00000000" w14:paraId="0000002D">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Marcin</w:t>
        <w:tab/>
        <w:t xml:space="preserve">Zygmanowski, </w:t>
      </w:r>
      <w:r w:rsidDel="00000000" w:rsidR="00000000" w:rsidRPr="00000000">
        <w:rPr>
          <w:rFonts w:ascii="Tahoma" w:cs="Tahoma" w:eastAsia="Tahoma" w:hAnsi="Tahoma"/>
          <w:sz w:val="20"/>
          <w:szCs w:val="20"/>
          <w:rtl w:val="0"/>
        </w:rPr>
        <w:t xml:space="preserve">Wiceprezes Zarządu Banku nadzorujący Pion Transformacji Technologicznej i Innowacji, Bank Pekao</w:t>
      </w:r>
    </w:p>
    <w:p w:rsidR="00000000" w:rsidDel="00000000" w:rsidP="00000000" w:rsidRDefault="00000000" w:rsidRPr="00000000" w14:paraId="0000002E">
      <w:pPr>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Krzysztof Król, </w:t>
      </w:r>
      <w:r w:rsidDel="00000000" w:rsidR="00000000" w:rsidRPr="00000000">
        <w:rPr>
          <w:rFonts w:ascii="Tahoma" w:cs="Tahoma" w:eastAsia="Tahoma" w:hAnsi="Tahoma"/>
          <w:sz w:val="20"/>
          <w:szCs w:val="20"/>
          <w:rtl w:val="0"/>
        </w:rPr>
        <w:t xml:space="preserve">Chief Technology Officer, BNP Paribas Bank Polska</w:t>
      </w:r>
    </w:p>
    <w:p w:rsidR="00000000" w:rsidDel="00000000" w:rsidP="00000000" w:rsidRDefault="00000000" w:rsidRPr="00000000" w14:paraId="0000002F">
      <w:pPr>
        <w:widowControl w:val="0"/>
        <w:numPr>
          <w:ilvl w:val="0"/>
          <w:numId w:val="1"/>
        </w:numPr>
        <w:shd w:fill="ffffff" w:val="clear"/>
        <w:ind w:left="720" w:hanging="360"/>
        <w:rPr>
          <w:rFonts w:ascii="Tahoma" w:cs="Tahoma" w:eastAsia="Tahoma" w:hAnsi="Tahoma"/>
          <w:sz w:val="20"/>
          <w:szCs w:val="20"/>
          <w:u w:val="none"/>
        </w:rPr>
      </w:pPr>
      <w:r w:rsidDel="00000000" w:rsidR="00000000" w:rsidRPr="00000000">
        <w:rPr>
          <w:rFonts w:ascii="Tahoma" w:cs="Tahoma" w:eastAsia="Tahoma" w:hAnsi="Tahoma"/>
          <w:b w:val="1"/>
          <w:bCs w:val="1"/>
          <w:sz w:val="20"/>
          <w:szCs w:val="20"/>
          <w:rtl w:val="0"/>
        </w:rPr>
        <w:t xml:space="preserve">Artur Kurcweil, </w:t>
      </w:r>
      <w:r w:rsidDel="00000000" w:rsidR="00000000" w:rsidRPr="00000000">
        <w:rPr>
          <w:rFonts w:ascii="Tahoma" w:cs="Tahoma" w:eastAsia="Tahoma" w:hAnsi="Tahoma"/>
          <w:sz w:val="20"/>
          <w:szCs w:val="20"/>
          <w:rtl w:val="0"/>
        </w:rPr>
        <w:t xml:space="preserve">CISO/CSO, Bank Millennium</w:t>
      </w: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rtl w:val="0"/>
        </w:rPr>
        <w:t xml:space="preserve">Partnerzy Strategiczni Spotkania Liderów Finansów: Accenture, Betacom, UiPath, HITACHI, Limitless Technologies, PKO Bank Polski</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Partnerzy Fintech Digital Congress: Finqware, Macura, Zowie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Partnerzy Spotkania Liderów Finansów: Adacta, Apius Technologies, Ailleron, BGK Bank Gospodarstwa Krajowego, Comarch, Red Into Green, DLK Legal Korus, EY, IT Solution Factror HPE, Intuitech, KPK Legal, LUXMED UBEZPIECZENIA, MDT, PFR Polski Fundusz Rozwoju, Palo Alto, Polska Wytwórnia Papierów Wartościowych, Secfense, Temenos, Zowie, WEBCON, ABAK, Profescapital, </w:t>
      </w:r>
      <w:hyperlink r:id="rId7">
        <w:r w:rsidDel="00000000" w:rsidR="00000000" w:rsidRPr="00000000">
          <w:rPr>
            <w:color w:val="1155cc"/>
            <w:u w:val="single"/>
            <w:rtl w:val="0"/>
          </w:rPr>
          <w:t xml:space="preserve">ZEN.com</w:t>
        </w:r>
      </w:hyperlink>
      <w:r w:rsidDel="00000000" w:rsidR="00000000" w:rsidRPr="00000000">
        <w:rPr>
          <w:rtl w:val="0"/>
        </w:rPr>
        <w:t xml:space="preserve"> EXPO</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Partner Multimediów: m-sound multimedia</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Partner Logistyczny: MMC Events</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Patronat Honorowy Spotkania Liderów Finansów: Ministerstwo Aktywów Państwowych, Ministerstwo Cyfryzacji, Narodowy Bank Polski, Europejska Federacja Doradców Finansowych, Fundacja Rozwoju Obrotu Bezgotówkowego, Związek Przedsiębiorstw Finansowych w Polsce, Polskie Towarzystwo Ekonomiczne, ARE, Pracodawcy, Ai Law Tech</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Patronat Honorowy Fintech Digital Congress: Izba Gospodarcza Blockchain i Nowych technologii, Polska Izba Gospodarcza Zaawansowanych Technologii, Polskie Stowarzyszenie Bitcoin, Stowarzyszenie Ekspertów Blockchain, StartUp Hub, StartSmart CEE</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Strategiczny Patronat Medialny: TVP Info, TVP 3 Warszawa, </w:t>
      </w:r>
      <w:hyperlink r:id="rId8">
        <w:r w:rsidDel="00000000" w:rsidR="00000000" w:rsidRPr="00000000">
          <w:rPr>
            <w:color w:val="1155cc"/>
            <w:u w:val="single"/>
            <w:rtl w:val="0"/>
          </w:rPr>
          <w:t xml:space="preserve">Money.pl</w:t>
        </w:r>
      </w:hyperlink>
      <w:r w:rsidDel="00000000" w:rsidR="00000000" w:rsidRPr="00000000">
        <w:rPr>
          <w:rtl w:val="0"/>
        </w:rPr>
        <w:t xml:space="preserve">, Witrualna Polska</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Patronat Medialny: Android, Bankujesz, Biznes Alert, Gazeta Ubezpieczeniowa, BS.net, FX MAG, Kobieta i pieniądze, Manager, Newseria, Poradnik przedsiębiorcy, Sare, Stockwatch, CIRE, Forum Odpowiedzialnego Biznesu, Kapitał Polski</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Kongres jest realizowany w ramach działalności MMC Polska organizującej prestiżowe kongresy, konferencje, warsztaty i szkolenia biznesowe dedykowane kadrze menadżerskiej oraz zarządom firm. Więcej na www.mmcpolska.pl.</w:t>
      </w:r>
    </w:p>
    <w:p w:rsidR="00000000" w:rsidDel="00000000" w:rsidP="00000000" w:rsidRDefault="00000000" w:rsidRPr="00000000" w14:paraId="0000003B">
      <w:pPr>
        <w:spacing w:after="240" w:before="240" w:lineRule="auto"/>
        <w:jc w:val="both"/>
        <w:rPr/>
      </w:pPr>
      <w:r w:rsidDel="00000000" w:rsidR="00000000" w:rsidRPr="00000000">
        <w:rPr>
          <w:rtl w:val="0"/>
        </w:rPr>
      </w:r>
    </w:p>
    <w:p w:rsidR="00000000" w:rsidDel="00000000" w:rsidP="00000000" w:rsidRDefault="00000000" w:rsidRPr="00000000" w14:paraId="0000003C">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in" TargetMode="External"/><Relationship Id="rId7" Type="http://schemas.openxmlformats.org/officeDocument/2006/relationships/hyperlink" Target="http://zen.com" TargetMode="External"/><Relationship Id="rId8" Type="http://schemas.openxmlformats.org/officeDocument/2006/relationships/hyperlink" Target="http://money.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